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9FCFD" w14:textId="77777777" w:rsidR="00E554DD" w:rsidRPr="00542D6E" w:rsidRDefault="00E554DD" w:rsidP="00E554DD">
      <w:pPr>
        <w:rPr>
          <w:rFonts w:ascii="Arial" w:hAnsi="Arial" w:cs="Arial"/>
          <w:sz w:val="24"/>
          <w:szCs w:val="24"/>
        </w:rPr>
      </w:pPr>
    </w:p>
    <w:p w14:paraId="0A4B38AD" w14:textId="77777777" w:rsidR="00E554DD" w:rsidRPr="00542D6E" w:rsidRDefault="00E554DD" w:rsidP="00E554DD">
      <w:pPr>
        <w:spacing w:after="0" w:line="240" w:lineRule="auto"/>
        <w:jc w:val="center"/>
        <w:outlineLvl w:val="0"/>
        <w:rPr>
          <w:rFonts w:ascii="Arial" w:hAnsi="Arial" w:cs="Arial"/>
          <w:b/>
          <w:sz w:val="24"/>
          <w:szCs w:val="24"/>
          <w:lang w:eastAsia="pl-PL"/>
        </w:rPr>
      </w:pPr>
      <w:r w:rsidRPr="00542D6E">
        <w:rPr>
          <w:rFonts w:ascii="Arial" w:hAnsi="Arial" w:cs="Arial"/>
          <w:b/>
          <w:sz w:val="24"/>
          <w:szCs w:val="24"/>
          <w:lang w:eastAsia="pl-PL"/>
        </w:rPr>
        <w:t>UCHWAŁA NR 9</w:t>
      </w:r>
    </w:p>
    <w:p w14:paraId="02C9F242" w14:textId="77777777" w:rsidR="00E554DD" w:rsidRPr="00542D6E" w:rsidRDefault="00E554DD" w:rsidP="00E554DD">
      <w:pPr>
        <w:spacing w:after="0" w:line="240" w:lineRule="auto"/>
        <w:jc w:val="center"/>
        <w:outlineLvl w:val="0"/>
        <w:rPr>
          <w:rFonts w:ascii="Arial" w:hAnsi="Arial" w:cs="Arial"/>
          <w:b/>
          <w:sz w:val="24"/>
          <w:szCs w:val="24"/>
          <w:lang w:eastAsia="pl-PL"/>
        </w:rPr>
      </w:pPr>
      <w:r w:rsidRPr="00542D6E">
        <w:rPr>
          <w:rFonts w:ascii="Arial" w:hAnsi="Arial" w:cs="Arial"/>
          <w:b/>
          <w:sz w:val="24"/>
          <w:szCs w:val="24"/>
          <w:lang w:eastAsia="pl-PL"/>
        </w:rPr>
        <w:t>RADY DYDAKTYCZNEJ</w:t>
      </w:r>
    </w:p>
    <w:p w14:paraId="185F844D" w14:textId="77777777" w:rsidR="00E554DD" w:rsidRPr="00542D6E" w:rsidRDefault="00E554DD" w:rsidP="00E554DD">
      <w:pPr>
        <w:spacing w:before="240" w:after="240" w:line="240" w:lineRule="auto"/>
        <w:jc w:val="center"/>
        <w:rPr>
          <w:rFonts w:ascii="Arial" w:hAnsi="Arial" w:cs="Arial"/>
          <w:sz w:val="24"/>
          <w:szCs w:val="24"/>
          <w:lang w:eastAsia="pl-PL"/>
        </w:rPr>
      </w:pPr>
      <w:r w:rsidRPr="00542D6E">
        <w:rPr>
          <w:rFonts w:ascii="Arial" w:hAnsi="Arial" w:cs="Arial"/>
          <w:sz w:val="24"/>
          <w:szCs w:val="24"/>
          <w:lang w:eastAsia="pl-PL"/>
        </w:rPr>
        <w:t xml:space="preserve">z dnia </w:t>
      </w:r>
      <w:r>
        <w:rPr>
          <w:rFonts w:ascii="Arial" w:hAnsi="Arial" w:cs="Arial"/>
          <w:sz w:val="24"/>
          <w:szCs w:val="24"/>
          <w:lang w:eastAsia="pl-PL"/>
        </w:rPr>
        <w:t>2</w:t>
      </w:r>
      <w:r w:rsidRPr="00542D6E">
        <w:rPr>
          <w:rFonts w:ascii="Arial" w:hAnsi="Arial" w:cs="Arial"/>
          <w:sz w:val="24"/>
          <w:szCs w:val="24"/>
          <w:lang w:eastAsia="pl-PL"/>
        </w:rPr>
        <w:t>8 grudnia 2020 r.</w:t>
      </w:r>
    </w:p>
    <w:p w14:paraId="23634BE7" w14:textId="77777777" w:rsidR="00E554DD" w:rsidRDefault="00E554DD" w:rsidP="00E554DD">
      <w:pPr>
        <w:spacing w:after="240" w:line="240" w:lineRule="auto"/>
        <w:jc w:val="center"/>
        <w:rPr>
          <w:rFonts w:ascii="Arial" w:hAnsi="Arial" w:cs="Arial"/>
          <w:b/>
          <w:sz w:val="24"/>
          <w:szCs w:val="24"/>
          <w:lang w:eastAsia="pl-PL"/>
        </w:rPr>
      </w:pPr>
      <w:r w:rsidRPr="00542D6E">
        <w:rPr>
          <w:rFonts w:ascii="Arial" w:hAnsi="Arial" w:cs="Arial"/>
          <w:b/>
          <w:sz w:val="24"/>
          <w:szCs w:val="24"/>
          <w:lang w:eastAsia="pl-PL"/>
        </w:rPr>
        <w:t>w sprawie raportu z procesu monitorowania i ewaluacji na kierunku Etnologia i antropologia kulturowa w roku akademickim 2019/2020</w:t>
      </w:r>
    </w:p>
    <w:p w14:paraId="3363A3CD" w14:textId="77777777" w:rsidR="00E554DD" w:rsidRPr="00542D6E" w:rsidRDefault="00E554DD" w:rsidP="00E554DD">
      <w:pPr>
        <w:spacing w:after="240" w:line="240" w:lineRule="auto"/>
        <w:jc w:val="center"/>
        <w:rPr>
          <w:rFonts w:ascii="Arial" w:hAnsi="Arial" w:cs="Arial"/>
          <w:b/>
          <w:sz w:val="24"/>
          <w:szCs w:val="24"/>
          <w:lang w:eastAsia="pl-PL"/>
        </w:rPr>
      </w:pPr>
    </w:p>
    <w:p w14:paraId="108FC2DF" w14:textId="77777777" w:rsidR="00E554DD" w:rsidRPr="00542D6E" w:rsidRDefault="00E554DD" w:rsidP="00E554DD">
      <w:pPr>
        <w:spacing w:after="240" w:line="240" w:lineRule="auto"/>
        <w:ind w:firstLine="708"/>
        <w:jc w:val="both"/>
        <w:rPr>
          <w:rFonts w:ascii="Arial" w:hAnsi="Arial" w:cs="Arial"/>
          <w:sz w:val="24"/>
          <w:szCs w:val="24"/>
          <w:lang w:eastAsia="pl-PL"/>
        </w:rPr>
      </w:pPr>
      <w:r w:rsidRPr="00542D6E">
        <w:rPr>
          <w:rFonts w:ascii="Arial" w:hAnsi="Arial" w:cs="Arial"/>
          <w:sz w:val="24"/>
          <w:szCs w:val="24"/>
          <w:lang w:eastAsia="pl-PL"/>
        </w:rPr>
        <w:t>Na podstawie § 68 ust. 2 Statutu Uniwersytetu Warszawskiego (Monitor UW</w:t>
      </w:r>
      <w:r w:rsidRPr="00542D6E">
        <w:rPr>
          <w:rFonts w:ascii="Arial" w:hAnsi="Arial" w:cs="Arial"/>
          <w:sz w:val="24"/>
          <w:szCs w:val="24"/>
          <w:lang w:eastAsia="pl-PL"/>
        </w:rPr>
        <w:br/>
        <w:t xml:space="preserve">z 2019 r. poz. 190) </w:t>
      </w:r>
      <w:r>
        <w:rPr>
          <w:rFonts w:ascii="Arial" w:hAnsi="Arial" w:cs="Arial"/>
          <w:sz w:val="24"/>
          <w:szCs w:val="24"/>
          <w:lang w:eastAsia="pl-PL"/>
        </w:rPr>
        <w:t>rada</w:t>
      </w:r>
      <w:r w:rsidRPr="00542D6E">
        <w:rPr>
          <w:rFonts w:ascii="Arial" w:hAnsi="Arial" w:cs="Arial"/>
          <w:sz w:val="24"/>
          <w:szCs w:val="24"/>
          <w:lang w:eastAsia="pl-PL"/>
        </w:rPr>
        <w:t xml:space="preserve"> dydaktyczna postanawia, co następuje:</w:t>
      </w:r>
    </w:p>
    <w:p w14:paraId="76339EDA" w14:textId="77777777" w:rsidR="00E554DD" w:rsidRPr="00542D6E" w:rsidRDefault="00E554DD" w:rsidP="00E554DD">
      <w:pPr>
        <w:spacing w:before="120" w:after="120" w:line="240" w:lineRule="auto"/>
        <w:jc w:val="center"/>
        <w:outlineLvl w:val="0"/>
        <w:rPr>
          <w:rFonts w:ascii="Arial" w:hAnsi="Arial" w:cs="Arial"/>
          <w:sz w:val="24"/>
          <w:szCs w:val="24"/>
          <w:lang w:eastAsia="pl-PL"/>
        </w:rPr>
      </w:pPr>
      <w:r w:rsidRPr="00542D6E">
        <w:rPr>
          <w:rFonts w:ascii="Arial" w:hAnsi="Arial" w:cs="Arial"/>
          <w:sz w:val="24"/>
          <w:szCs w:val="24"/>
          <w:lang w:eastAsia="pl-PL"/>
        </w:rPr>
        <w:t>§ 1</w:t>
      </w:r>
    </w:p>
    <w:p w14:paraId="35621A17" w14:textId="3A9B74CF" w:rsidR="00E554DD" w:rsidRPr="00542D6E" w:rsidRDefault="00E554DD" w:rsidP="00E554DD">
      <w:pPr>
        <w:spacing w:after="240" w:line="240" w:lineRule="auto"/>
        <w:jc w:val="both"/>
        <w:rPr>
          <w:rFonts w:ascii="Arial" w:hAnsi="Arial" w:cs="Arial"/>
          <w:sz w:val="24"/>
          <w:szCs w:val="24"/>
          <w:lang w:eastAsia="pl-PL"/>
        </w:rPr>
      </w:pPr>
      <w:r>
        <w:rPr>
          <w:rFonts w:ascii="Arial" w:hAnsi="Arial" w:cs="Arial"/>
          <w:sz w:val="24"/>
          <w:szCs w:val="24"/>
          <w:lang w:eastAsia="pl-PL"/>
        </w:rPr>
        <w:t>rada</w:t>
      </w:r>
      <w:r w:rsidRPr="00542D6E">
        <w:rPr>
          <w:rFonts w:ascii="Arial" w:hAnsi="Arial" w:cs="Arial"/>
          <w:sz w:val="24"/>
          <w:szCs w:val="24"/>
          <w:lang w:eastAsia="pl-PL"/>
        </w:rPr>
        <w:t xml:space="preserve"> dydaktyczna przedstawia raport z procesu monitorowania i ewaluacji na kierunku Etnologia i antropologia kulturowa w roku akademickim 2019/2020 zgodn</w:t>
      </w:r>
      <w:r>
        <w:rPr>
          <w:rFonts w:ascii="Arial" w:hAnsi="Arial" w:cs="Arial"/>
          <w:sz w:val="24"/>
          <w:szCs w:val="24"/>
          <w:lang w:eastAsia="pl-PL"/>
        </w:rPr>
        <w:t>y</w:t>
      </w:r>
      <w:r w:rsidRPr="00542D6E">
        <w:rPr>
          <w:rFonts w:ascii="Arial" w:hAnsi="Arial" w:cs="Arial"/>
          <w:sz w:val="24"/>
          <w:szCs w:val="24"/>
          <w:lang w:eastAsia="pl-PL"/>
        </w:rPr>
        <w:t xml:space="preserve"> z załącznikiem</w:t>
      </w:r>
      <w:r w:rsidR="00EA5F11">
        <w:rPr>
          <w:rFonts w:ascii="Arial" w:hAnsi="Arial" w:cs="Arial"/>
          <w:sz w:val="24"/>
          <w:szCs w:val="24"/>
          <w:lang w:eastAsia="pl-PL"/>
        </w:rPr>
        <w:t xml:space="preserve"> </w:t>
      </w:r>
      <w:r w:rsidRPr="00542D6E">
        <w:rPr>
          <w:rFonts w:ascii="Arial" w:hAnsi="Arial" w:cs="Arial"/>
          <w:sz w:val="24"/>
          <w:szCs w:val="24"/>
          <w:lang w:eastAsia="pl-PL"/>
        </w:rPr>
        <w:t>do uchwały.</w:t>
      </w:r>
    </w:p>
    <w:p w14:paraId="0F8FB8CE" w14:textId="77777777" w:rsidR="00E554DD" w:rsidRPr="00542D6E" w:rsidRDefault="00E554DD" w:rsidP="00E554DD">
      <w:pPr>
        <w:spacing w:before="120" w:after="120" w:line="240" w:lineRule="auto"/>
        <w:ind w:left="357" w:hanging="357"/>
        <w:jc w:val="center"/>
        <w:rPr>
          <w:rFonts w:ascii="Arial" w:hAnsi="Arial" w:cs="Arial"/>
          <w:sz w:val="24"/>
          <w:szCs w:val="24"/>
          <w:lang w:eastAsia="pl-PL"/>
        </w:rPr>
      </w:pPr>
      <w:r w:rsidRPr="00542D6E">
        <w:rPr>
          <w:rFonts w:ascii="Arial" w:hAnsi="Arial" w:cs="Arial"/>
          <w:sz w:val="24"/>
          <w:szCs w:val="24"/>
          <w:lang w:eastAsia="pl-PL"/>
        </w:rPr>
        <w:t>§ 2</w:t>
      </w:r>
    </w:p>
    <w:p w14:paraId="17B15F26" w14:textId="77777777" w:rsidR="00E554DD" w:rsidRPr="00542D6E" w:rsidRDefault="00E554DD" w:rsidP="00E554DD">
      <w:pPr>
        <w:spacing w:before="120" w:after="480" w:line="240" w:lineRule="auto"/>
        <w:ind w:firstLine="708"/>
        <w:jc w:val="both"/>
        <w:rPr>
          <w:rFonts w:ascii="Arial" w:hAnsi="Arial" w:cs="Arial"/>
          <w:sz w:val="24"/>
          <w:szCs w:val="24"/>
          <w:lang w:eastAsia="pl-PL"/>
        </w:rPr>
      </w:pPr>
      <w:r w:rsidRPr="00542D6E">
        <w:rPr>
          <w:rFonts w:ascii="Arial" w:hAnsi="Arial" w:cs="Arial"/>
          <w:sz w:val="24"/>
          <w:szCs w:val="24"/>
          <w:lang w:eastAsia="pl-PL"/>
        </w:rPr>
        <w:t>Uchwała wchodzi w życie z dniem podjęcia.</w:t>
      </w:r>
    </w:p>
    <w:p w14:paraId="0A9C0402" w14:textId="77777777" w:rsidR="00E554DD" w:rsidRPr="00542D6E" w:rsidRDefault="00E554DD" w:rsidP="00E554DD">
      <w:pPr>
        <w:spacing w:before="480" w:after="480" w:line="240" w:lineRule="auto"/>
        <w:jc w:val="right"/>
        <w:rPr>
          <w:rFonts w:ascii="Arial" w:hAnsi="Arial" w:cs="Arial"/>
          <w:sz w:val="24"/>
          <w:szCs w:val="24"/>
          <w:lang w:eastAsia="pl-PL"/>
        </w:rPr>
      </w:pPr>
      <w:r w:rsidRPr="00542D6E">
        <w:rPr>
          <w:rFonts w:ascii="Arial" w:hAnsi="Arial" w:cs="Arial"/>
          <w:sz w:val="24"/>
          <w:szCs w:val="24"/>
          <w:lang w:eastAsia="pl-PL"/>
        </w:rPr>
        <w:t xml:space="preserve">Przewodniczący rady dydaktycznej: </w:t>
      </w:r>
    </w:p>
    <w:p w14:paraId="1E5273FB" w14:textId="77777777" w:rsidR="00E554DD" w:rsidRPr="00542D6E" w:rsidRDefault="00E554DD" w:rsidP="00E554DD">
      <w:pPr>
        <w:spacing w:before="480" w:after="480" w:line="240" w:lineRule="auto"/>
        <w:jc w:val="right"/>
        <w:rPr>
          <w:rFonts w:ascii="Arial" w:hAnsi="Arial" w:cs="Arial"/>
          <w:sz w:val="24"/>
          <w:szCs w:val="24"/>
          <w:lang w:eastAsia="pl-PL"/>
        </w:rPr>
      </w:pPr>
      <w:r w:rsidRPr="00542D6E">
        <w:rPr>
          <w:rFonts w:ascii="Arial" w:hAnsi="Arial" w:cs="Arial"/>
          <w:sz w:val="24"/>
          <w:szCs w:val="24"/>
          <w:lang w:eastAsia="pl-PL"/>
        </w:rPr>
        <w:t>Anna Malewska-</w:t>
      </w:r>
      <w:proofErr w:type="spellStart"/>
      <w:r w:rsidRPr="00542D6E">
        <w:rPr>
          <w:rFonts w:ascii="Arial" w:hAnsi="Arial" w:cs="Arial"/>
          <w:sz w:val="24"/>
          <w:szCs w:val="24"/>
          <w:lang w:eastAsia="pl-PL"/>
        </w:rPr>
        <w:t>Szałygin</w:t>
      </w:r>
      <w:proofErr w:type="spellEnd"/>
    </w:p>
    <w:p w14:paraId="5C3820F3" w14:textId="77777777" w:rsidR="00E554DD" w:rsidRPr="00542D6E" w:rsidRDefault="00E554DD" w:rsidP="00E554DD">
      <w:pPr>
        <w:spacing w:before="480" w:after="480" w:line="240" w:lineRule="auto"/>
        <w:jc w:val="right"/>
        <w:rPr>
          <w:rFonts w:ascii="Arial" w:hAnsi="Arial" w:cs="Arial"/>
          <w:sz w:val="24"/>
          <w:szCs w:val="24"/>
          <w:lang w:eastAsia="pl-PL"/>
        </w:rPr>
      </w:pPr>
    </w:p>
    <w:p w14:paraId="7054F007" w14:textId="77777777" w:rsidR="00E554DD" w:rsidRPr="00542D6E" w:rsidRDefault="00E554DD" w:rsidP="00E554DD">
      <w:pPr>
        <w:spacing w:before="480" w:after="480" w:line="240" w:lineRule="auto"/>
        <w:jc w:val="right"/>
        <w:rPr>
          <w:rFonts w:ascii="Arial" w:hAnsi="Arial" w:cs="Arial"/>
          <w:sz w:val="24"/>
          <w:szCs w:val="24"/>
          <w:lang w:eastAsia="pl-PL"/>
        </w:rPr>
      </w:pPr>
    </w:p>
    <w:p w14:paraId="05893003" w14:textId="77777777" w:rsidR="00E554DD" w:rsidRPr="00542D6E" w:rsidRDefault="00E554DD" w:rsidP="00E554DD">
      <w:pPr>
        <w:spacing w:before="480" w:after="480" w:line="240" w:lineRule="auto"/>
        <w:jc w:val="right"/>
        <w:rPr>
          <w:rFonts w:ascii="Arial" w:hAnsi="Arial" w:cs="Arial"/>
          <w:sz w:val="24"/>
          <w:szCs w:val="24"/>
          <w:lang w:eastAsia="pl-PL"/>
        </w:rPr>
      </w:pPr>
    </w:p>
    <w:p w14:paraId="7B03931E" w14:textId="77777777" w:rsidR="00E554DD" w:rsidRPr="00542D6E" w:rsidRDefault="00E554DD" w:rsidP="00E554DD">
      <w:pPr>
        <w:spacing w:before="480" w:after="480" w:line="240" w:lineRule="auto"/>
        <w:jc w:val="right"/>
        <w:rPr>
          <w:rFonts w:ascii="Arial" w:hAnsi="Arial" w:cs="Arial"/>
          <w:sz w:val="24"/>
          <w:szCs w:val="24"/>
          <w:lang w:eastAsia="pl-PL"/>
        </w:rPr>
      </w:pPr>
    </w:p>
    <w:p w14:paraId="532FD04C" w14:textId="77777777" w:rsidR="00E554DD" w:rsidRPr="00542D6E" w:rsidRDefault="00E554DD" w:rsidP="00E554DD">
      <w:pPr>
        <w:spacing w:before="480" w:after="480" w:line="240" w:lineRule="auto"/>
        <w:jc w:val="right"/>
        <w:rPr>
          <w:rFonts w:ascii="Arial" w:hAnsi="Arial" w:cs="Arial"/>
          <w:sz w:val="24"/>
          <w:szCs w:val="24"/>
          <w:lang w:eastAsia="pl-PL"/>
        </w:rPr>
      </w:pPr>
    </w:p>
    <w:p w14:paraId="6C56CAC0" w14:textId="77777777" w:rsidR="00E554DD" w:rsidRPr="00542D6E" w:rsidRDefault="00E554DD" w:rsidP="00E554DD">
      <w:pPr>
        <w:spacing w:before="480" w:after="480" w:line="240" w:lineRule="auto"/>
        <w:jc w:val="right"/>
        <w:rPr>
          <w:rFonts w:ascii="Arial" w:hAnsi="Arial" w:cs="Arial"/>
          <w:sz w:val="24"/>
          <w:szCs w:val="24"/>
          <w:lang w:eastAsia="pl-PL"/>
        </w:rPr>
      </w:pPr>
    </w:p>
    <w:p w14:paraId="58AD0B1B" w14:textId="77777777" w:rsidR="00E554DD" w:rsidRPr="00542D6E" w:rsidRDefault="00E554DD" w:rsidP="00E554DD">
      <w:pPr>
        <w:spacing w:before="480" w:after="480" w:line="240" w:lineRule="auto"/>
        <w:jc w:val="right"/>
        <w:rPr>
          <w:rFonts w:ascii="Arial" w:hAnsi="Arial" w:cs="Arial"/>
          <w:sz w:val="24"/>
          <w:szCs w:val="24"/>
          <w:lang w:eastAsia="pl-PL"/>
        </w:rPr>
      </w:pPr>
    </w:p>
    <w:p w14:paraId="018FDF42" w14:textId="77777777" w:rsidR="00E554DD" w:rsidRDefault="00E554DD" w:rsidP="00E554DD">
      <w:pPr>
        <w:spacing w:after="0" w:line="276" w:lineRule="auto"/>
        <w:jc w:val="right"/>
        <w:rPr>
          <w:rFonts w:ascii="Arial" w:hAnsi="Arial" w:cs="Arial"/>
          <w:b/>
          <w:sz w:val="24"/>
          <w:szCs w:val="24"/>
        </w:rPr>
      </w:pPr>
    </w:p>
    <w:p w14:paraId="07748F4B" w14:textId="17783409" w:rsidR="00E554DD" w:rsidRPr="00542D6E" w:rsidRDefault="00E554DD" w:rsidP="00E554DD">
      <w:pPr>
        <w:spacing w:after="0" w:line="276" w:lineRule="auto"/>
        <w:jc w:val="right"/>
        <w:rPr>
          <w:rFonts w:ascii="Arial" w:hAnsi="Arial" w:cs="Arial"/>
          <w:b/>
          <w:sz w:val="24"/>
          <w:szCs w:val="24"/>
        </w:rPr>
      </w:pPr>
      <w:r w:rsidRPr="00542D6E">
        <w:rPr>
          <w:rFonts w:ascii="Arial" w:hAnsi="Arial" w:cs="Arial"/>
          <w:b/>
          <w:sz w:val="24"/>
          <w:szCs w:val="24"/>
        </w:rPr>
        <w:t xml:space="preserve">Załącznik </w:t>
      </w:r>
      <w:r w:rsidR="00201E04">
        <w:rPr>
          <w:rFonts w:ascii="Arial" w:hAnsi="Arial" w:cs="Arial"/>
          <w:b/>
          <w:sz w:val="24"/>
          <w:szCs w:val="24"/>
        </w:rPr>
        <w:t>nr 1</w:t>
      </w:r>
      <w:bookmarkStart w:id="0" w:name="_GoBack"/>
      <w:bookmarkEnd w:id="0"/>
      <w:r w:rsidRPr="00542D6E">
        <w:rPr>
          <w:rFonts w:ascii="Arial" w:hAnsi="Arial" w:cs="Arial"/>
          <w:b/>
          <w:sz w:val="24"/>
          <w:szCs w:val="24"/>
        </w:rPr>
        <w:t xml:space="preserve">: </w:t>
      </w:r>
      <w:r>
        <w:rPr>
          <w:rFonts w:ascii="Arial" w:hAnsi="Arial" w:cs="Arial"/>
          <w:b/>
          <w:sz w:val="24"/>
          <w:szCs w:val="24"/>
          <w:lang w:eastAsia="pl-PL"/>
        </w:rPr>
        <w:t>R</w:t>
      </w:r>
      <w:r w:rsidRPr="00542D6E">
        <w:rPr>
          <w:rFonts w:ascii="Arial" w:hAnsi="Arial" w:cs="Arial"/>
          <w:b/>
          <w:sz w:val="24"/>
          <w:szCs w:val="24"/>
          <w:lang w:eastAsia="pl-PL"/>
        </w:rPr>
        <w:t xml:space="preserve">aport z procesu </w:t>
      </w:r>
      <w:r w:rsidR="00EA5F11">
        <w:rPr>
          <w:rFonts w:ascii="Arial" w:hAnsi="Arial" w:cs="Arial"/>
          <w:b/>
          <w:sz w:val="24"/>
          <w:szCs w:val="24"/>
          <w:lang w:eastAsia="pl-PL"/>
        </w:rPr>
        <w:t xml:space="preserve">monitorowania i </w:t>
      </w:r>
      <w:r w:rsidRPr="00542D6E">
        <w:rPr>
          <w:rFonts w:ascii="Arial" w:hAnsi="Arial" w:cs="Arial"/>
          <w:b/>
          <w:sz w:val="24"/>
          <w:szCs w:val="24"/>
          <w:lang w:eastAsia="pl-PL"/>
        </w:rPr>
        <w:t xml:space="preserve">ewaluacji </w:t>
      </w:r>
      <w:r>
        <w:rPr>
          <w:rFonts w:ascii="Arial" w:hAnsi="Arial" w:cs="Arial"/>
          <w:b/>
          <w:sz w:val="24"/>
          <w:szCs w:val="24"/>
          <w:lang w:eastAsia="pl-PL"/>
        </w:rPr>
        <w:t xml:space="preserve">kształcenia </w:t>
      </w:r>
      <w:r w:rsidRPr="00542D6E">
        <w:rPr>
          <w:rFonts w:ascii="Arial" w:hAnsi="Arial" w:cs="Arial"/>
          <w:b/>
          <w:sz w:val="24"/>
          <w:szCs w:val="24"/>
        </w:rPr>
        <w:t>na kierunku Etnologia i antropologia kulturowa</w:t>
      </w:r>
    </w:p>
    <w:p w14:paraId="1DA9D916" w14:textId="77777777" w:rsidR="00E554DD" w:rsidRPr="00542D6E" w:rsidRDefault="00E554DD" w:rsidP="00E554DD">
      <w:pPr>
        <w:spacing w:after="0" w:line="276" w:lineRule="auto"/>
        <w:jc w:val="right"/>
        <w:rPr>
          <w:rFonts w:ascii="Arial" w:hAnsi="Arial" w:cs="Arial"/>
          <w:b/>
          <w:sz w:val="24"/>
          <w:szCs w:val="24"/>
        </w:rPr>
      </w:pPr>
      <w:r w:rsidRPr="00542D6E">
        <w:rPr>
          <w:rFonts w:ascii="Arial" w:hAnsi="Arial" w:cs="Arial"/>
          <w:b/>
          <w:sz w:val="24"/>
          <w:szCs w:val="24"/>
        </w:rPr>
        <w:t xml:space="preserve"> w roku akademickim 2019/2020</w:t>
      </w:r>
    </w:p>
    <w:p w14:paraId="17F9DFBF" w14:textId="77777777" w:rsidR="00E554DD" w:rsidRDefault="00E554DD" w:rsidP="00E554DD">
      <w:pPr>
        <w:spacing w:after="0" w:line="276" w:lineRule="auto"/>
        <w:jc w:val="right"/>
        <w:rPr>
          <w:rFonts w:ascii="Arial" w:hAnsi="Arial" w:cs="Arial"/>
          <w:b/>
          <w:sz w:val="24"/>
          <w:szCs w:val="24"/>
        </w:rPr>
      </w:pPr>
      <w:r w:rsidRPr="00542D6E">
        <w:rPr>
          <w:rFonts w:ascii="Arial" w:hAnsi="Arial" w:cs="Arial"/>
          <w:b/>
          <w:sz w:val="24"/>
          <w:szCs w:val="24"/>
        </w:rPr>
        <w:t xml:space="preserve"> przygotowany przez </w:t>
      </w:r>
      <w:r>
        <w:rPr>
          <w:rFonts w:ascii="Arial" w:hAnsi="Arial" w:cs="Arial"/>
          <w:b/>
          <w:sz w:val="24"/>
          <w:szCs w:val="24"/>
        </w:rPr>
        <w:t>r</w:t>
      </w:r>
      <w:r w:rsidRPr="00542D6E">
        <w:rPr>
          <w:rFonts w:ascii="Arial" w:hAnsi="Arial" w:cs="Arial"/>
          <w:b/>
          <w:sz w:val="24"/>
          <w:szCs w:val="24"/>
        </w:rPr>
        <w:t xml:space="preserve">adę dydaktyczną kierunku </w:t>
      </w:r>
    </w:p>
    <w:p w14:paraId="68096DCD" w14:textId="77777777" w:rsidR="00E554DD" w:rsidRPr="00542D6E" w:rsidRDefault="00E554DD" w:rsidP="00E554DD">
      <w:pPr>
        <w:spacing w:after="0" w:line="276" w:lineRule="auto"/>
        <w:jc w:val="right"/>
        <w:rPr>
          <w:rFonts w:ascii="Arial" w:hAnsi="Arial" w:cs="Arial"/>
          <w:b/>
          <w:sz w:val="24"/>
          <w:szCs w:val="24"/>
        </w:rPr>
      </w:pPr>
    </w:p>
    <w:p w14:paraId="4CC637A3" w14:textId="77777777" w:rsidR="00E554DD" w:rsidRDefault="00E554DD" w:rsidP="00E554DD">
      <w:pPr>
        <w:spacing w:line="276" w:lineRule="auto"/>
        <w:jc w:val="center"/>
        <w:rPr>
          <w:rFonts w:ascii="Arial" w:hAnsi="Arial" w:cs="Arial"/>
          <w:b/>
          <w:sz w:val="24"/>
          <w:szCs w:val="24"/>
        </w:rPr>
      </w:pPr>
      <w:r w:rsidRPr="00542D6E">
        <w:rPr>
          <w:rFonts w:ascii="Arial" w:hAnsi="Arial" w:cs="Arial"/>
          <w:b/>
          <w:sz w:val="24"/>
          <w:szCs w:val="24"/>
        </w:rPr>
        <w:t xml:space="preserve">Wnioski </w:t>
      </w:r>
      <w:r>
        <w:rPr>
          <w:rFonts w:ascii="Arial" w:hAnsi="Arial" w:cs="Arial"/>
          <w:b/>
          <w:sz w:val="24"/>
          <w:szCs w:val="24"/>
        </w:rPr>
        <w:t xml:space="preserve">ogólne </w:t>
      </w:r>
      <w:r w:rsidRPr="00542D6E">
        <w:rPr>
          <w:rFonts w:ascii="Arial" w:hAnsi="Arial" w:cs="Arial"/>
          <w:b/>
          <w:sz w:val="24"/>
          <w:szCs w:val="24"/>
        </w:rPr>
        <w:t xml:space="preserve">i zalecenia </w:t>
      </w:r>
      <w:r>
        <w:rPr>
          <w:rFonts w:ascii="Arial" w:hAnsi="Arial" w:cs="Arial"/>
          <w:b/>
          <w:sz w:val="24"/>
          <w:szCs w:val="24"/>
        </w:rPr>
        <w:t>do wdrożenia</w:t>
      </w:r>
    </w:p>
    <w:p w14:paraId="6B51486C" w14:textId="77777777" w:rsidR="00E554DD" w:rsidRDefault="00E554DD" w:rsidP="00E554DD">
      <w:pPr>
        <w:spacing w:line="276" w:lineRule="auto"/>
        <w:jc w:val="both"/>
        <w:rPr>
          <w:rFonts w:ascii="Arial" w:hAnsi="Arial" w:cs="Arial"/>
          <w:sz w:val="24"/>
          <w:szCs w:val="24"/>
        </w:rPr>
      </w:pPr>
      <w:r>
        <w:rPr>
          <w:rFonts w:ascii="Arial" w:hAnsi="Arial" w:cs="Arial"/>
          <w:sz w:val="24"/>
          <w:szCs w:val="24"/>
        </w:rPr>
        <w:t xml:space="preserve">W celu przeprowadzenia ewaluacji kształcenia na kierunku Etnologia i antropologia kulturowa rada dydaktyczna powołała 3 komisje złożone z członków rady. Komisje monitorowały proces dyplomowania, analizowały wewnętrzne ankiety ewaluacyjne opracowane przez Samorząd Studencki </w:t>
      </w:r>
      <w:proofErr w:type="spellStart"/>
      <w:r>
        <w:rPr>
          <w:rFonts w:ascii="Arial" w:hAnsi="Arial" w:cs="Arial"/>
          <w:sz w:val="24"/>
          <w:szCs w:val="24"/>
        </w:rPr>
        <w:t>IEiAK</w:t>
      </w:r>
      <w:proofErr w:type="spellEnd"/>
      <w:r>
        <w:rPr>
          <w:rFonts w:ascii="Arial" w:hAnsi="Arial" w:cs="Arial"/>
          <w:sz w:val="24"/>
          <w:szCs w:val="24"/>
        </w:rPr>
        <w:t xml:space="preserve"> oraz oceniały proces egzaminowania. Jedna z komisji przygotowała i przeprowadziła jednorazową, kompleksową ankietę oceny poziomu kształcenia na kierunku, rozesłaną nauczycielom akademickim zatrudnionym w </w:t>
      </w:r>
      <w:proofErr w:type="spellStart"/>
      <w:r>
        <w:rPr>
          <w:rFonts w:ascii="Arial" w:hAnsi="Arial" w:cs="Arial"/>
          <w:sz w:val="24"/>
          <w:szCs w:val="24"/>
        </w:rPr>
        <w:t>IEiAK</w:t>
      </w:r>
      <w:proofErr w:type="spellEnd"/>
      <w:r>
        <w:rPr>
          <w:rFonts w:ascii="Arial" w:hAnsi="Arial" w:cs="Arial"/>
          <w:sz w:val="24"/>
          <w:szCs w:val="24"/>
        </w:rPr>
        <w:t xml:space="preserve"> oraz studentom pierwszego i drugiego stopnia. Odpowiedzi na ankietę okazały się bardzo cennym materiałem pozwalającym na sformułowanie istotnych wniosków dotyczących sposobów poprawy jakości kształcenia. Wyniki prac wszystkich trzech komisji są ujęte w Załączniku 2.</w:t>
      </w:r>
    </w:p>
    <w:p w14:paraId="285439C4" w14:textId="77777777" w:rsidR="00E554DD" w:rsidRDefault="00E554DD" w:rsidP="00E554DD">
      <w:pPr>
        <w:spacing w:line="276" w:lineRule="auto"/>
        <w:jc w:val="both"/>
        <w:rPr>
          <w:rFonts w:ascii="Arial" w:hAnsi="Arial" w:cs="Arial"/>
          <w:sz w:val="24"/>
          <w:szCs w:val="24"/>
        </w:rPr>
      </w:pPr>
      <w:r>
        <w:rPr>
          <w:rFonts w:ascii="Arial" w:hAnsi="Arial" w:cs="Arial"/>
          <w:sz w:val="24"/>
          <w:szCs w:val="24"/>
        </w:rPr>
        <w:t>Wnioski ogólne dotyczące kształcenia na ocenianym kierunku są pozytywne: proces dyplomowania przebiega prawidłowo, podobnie jak proces egzaminowania. Zajęcia oceniane są przez studentów najczęściej bardzo dobrze lub dobrze. Nieobowiązkowe praktyki są realizowane bez ocen krytycznych ze strony studentów lub pracodawców. Liczba kandydatów na studia pierwszego stopnia jest dość wysoka, a na studia drugiego stopnia w tym roku była wyższa niż w poprzednim.</w:t>
      </w:r>
    </w:p>
    <w:p w14:paraId="4238E8A6" w14:textId="77777777" w:rsidR="00E554DD" w:rsidRPr="00D63DC9" w:rsidRDefault="00E554DD" w:rsidP="00E554DD">
      <w:pPr>
        <w:pStyle w:val="Tekstkomentarza"/>
        <w:spacing w:line="276" w:lineRule="auto"/>
        <w:jc w:val="both"/>
        <w:rPr>
          <w:rFonts w:ascii="Arial" w:hAnsi="Arial" w:cs="Arial"/>
        </w:rPr>
      </w:pPr>
      <w:r>
        <w:rPr>
          <w:rFonts w:ascii="Arial" w:hAnsi="Arial" w:cs="Arial"/>
        </w:rPr>
        <w:t xml:space="preserve">W wyniku przeprowadzonych prac rada dydaktyczna postanowiła w nadchodzącym roku akademickim (2020/2021) </w:t>
      </w:r>
      <w:r w:rsidRPr="00D63DC9">
        <w:rPr>
          <w:rFonts w:ascii="Arial" w:hAnsi="Arial" w:cs="Arial"/>
        </w:rPr>
        <w:t xml:space="preserve">dokonać </w:t>
      </w:r>
      <w:r>
        <w:rPr>
          <w:rFonts w:ascii="Arial" w:hAnsi="Arial" w:cs="Arial"/>
        </w:rPr>
        <w:t xml:space="preserve">jedynie </w:t>
      </w:r>
      <w:r w:rsidRPr="00D63DC9">
        <w:rPr>
          <w:rFonts w:ascii="Arial" w:hAnsi="Arial" w:cs="Arial"/>
        </w:rPr>
        <w:t xml:space="preserve">korekt w </w:t>
      </w:r>
      <w:r>
        <w:rPr>
          <w:rFonts w:ascii="Arial" w:hAnsi="Arial" w:cs="Arial"/>
        </w:rPr>
        <w:t xml:space="preserve">ofercie </w:t>
      </w:r>
      <w:r w:rsidRPr="00D63DC9">
        <w:rPr>
          <w:rFonts w:ascii="Arial" w:hAnsi="Arial" w:cs="Arial"/>
        </w:rPr>
        <w:t>program</w:t>
      </w:r>
      <w:r>
        <w:rPr>
          <w:rFonts w:ascii="Arial" w:hAnsi="Arial" w:cs="Arial"/>
        </w:rPr>
        <w:t xml:space="preserve">owej. </w:t>
      </w:r>
      <w:r w:rsidRPr="00D63DC9">
        <w:rPr>
          <w:rFonts w:ascii="Arial" w:hAnsi="Arial" w:cs="Arial"/>
        </w:rPr>
        <w:t>Jednocześnie</w:t>
      </w:r>
      <w:r>
        <w:rPr>
          <w:rFonts w:ascii="Arial" w:hAnsi="Arial" w:cs="Arial"/>
        </w:rPr>
        <w:t>,</w:t>
      </w:r>
      <w:r w:rsidRPr="00D63DC9">
        <w:rPr>
          <w:rFonts w:ascii="Arial" w:hAnsi="Arial" w:cs="Arial"/>
        </w:rPr>
        <w:t xml:space="preserve"> na </w:t>
      </w:r>
      <w:r>
        <w:rPr>
          <w:rFonts w:ascii="Arial" w:hAnsi="Arial" w:cs="Arial"/>
        </w:rPr>
        <w:t xml:space="preserve">jesień </w:t>
      </w:r>
      <w:r w:rsidRPr="00D63DC9">
        <w:rPr>
          <w:rFonts w:ascii="Arial" w:hAnsi="Arial" w:cs="Arial"/>
        </w:rPr>
        <w:t>rok</w:t>
      </w:r>
      <w:r>
        <w:rPr>
          <w:rFonts w:ascii="Arial" w:hAnsi="Arial" w:cs="Arial"/>
        </w:rPr>
        <w:t>u</w:t>
      </w:r>
      <w:r w:rsidRPr="00D63DC9">
        <w:rPr>
          <w:rFonts w:ascii="Arial" w:hAnsi="Arial" w:cs="Arial"/>
        </w:rPr>
        <w:t xml:space="preserve"> 2021 zaplanowała prace nad zmianami w programie kształcenia</w:t>
      </w:r>
      <w:r>
        <w:rPr>
          <w:rFonts w:ascii="Arial" w:hAnsi="Arial" w:cs="Arial"/>
        </w:rPr>
        <w:t xml:space="preserve"> wymagającymi przeprowadzenia pełnej procedury włączającej opinię Uczelnianej Rady ds. Kształcenia i Komisji Senackiej.</w:t>
      </w:r>
      <w:r w:rsidRPr="00D63DC9">
        <w:rPr>
          <w:rFonts w:ascii="Arial" w:hAnsi="Arial" w:cs="Arial"/>
        </w:rPr>
        <w:t xml:space="preserve"> </w:t>
      </w:r>
    </w:p>
    <w:p w14:paraId="1C41F6FB" w14:textId="77777777" w:rsidR="00E554DD" w:rsidRDefault="00E554DD" w:rsidP="00E554DD">
      <w:pPr>
        <w:spacing w:line="276" w:lineRule="auto"/>
        <w:jc w:val="both"/>
        <w:rPr>
          <w:rFonts w:ascii="Arial" w:hAnsi="Arial" w:cs="Arial"/>
          <w:sz w:val="24"/>
          <w:szCs w:val="24"/>
        </w:rPr>
      </w:pPr>
      <w:r>
        <w:rPr>
          <w:rFonts w:ascii="Arial" w:hAnsi="Arial" w:cs="Arial"/>
          <w:sz w:val="24"/>
          <w:szCs w:val="24"/>
        </w:rPr>
        <w:t>Pomimo ogólnej pozytywnej oceny rada dydaktyczna postanowiła wziąć pod uwagę sugestie nauczycieli oraz studentów i w związku z tym:</w:t>
      </w:r>
    </w:p>
    <w:p w14:paraId="29ACCA62" w14:textId="77777777" w:rsidR="00E554DD" w:rsidRPr="00D63DC9" w:rsidRDefault="00E554DD" w:rsidP="00E554DD">
      <w:pPr>
        <w:pStyle w:val="Tekstkomentarza"/>
        <w:spacing w:line="276" w:lineRule="auto"/>
        <w:jc w:val="both"/>
        <w:rPr>
          <w:rFonts w:ascii="Arial" w:hAnsi="Arial" w:cs="Arial"/>
        </w:rPr>
      </w:pPr>
      <w:r>
        <w:rPr>
          <w:rFonts w:ascii="Arial" w:hAnsi="Arial" w:cs="Arial"/>
        </w:rPr>
        <w:t xml:space="preserve">-  </w:t>
      </w:r>
      <w:r w:rsidRPr="00D63DC9">
        <w:rPr>
          <w:rFonts w:ascii="Arial" w:hAnsi="Arial" w:cs="Arial"/>
        </w:rPr>
        <w:t xml:space="preserve">dokonała ingerencji w plan studiów roku akademickiego 2020/2021 wymuszonej przez warunki COVID, uzgodnionej z Kierownikiem Jednostki Dydaktycznej </w:t>
      </w:r>
      <w:r>
        <w:rPr>
          <w:rFonts w:ascii="Arial" w:hAnsi="Arial" w:cs="Arial"/>
        </w:rPr>
        <w:t>(Prod</w:t>
      </w:r>
      <w:r w:rsidRPr="00D63DC9">
        <w:rPr>
          <w:rFonts w:ascii="Arial" w:hAnsi="Arial" w:cs="Arial"/>
        </w:rPr>
        <w:t>ziekanem Wydziału Nauk o Kulturze i Sztuce</w:t>
      </w:r>
      <w:r>
        <w:rPr>
          <w:rFonts w:ascii="Arial" w:hAnsi="Arial" w:cs="Arial"/>
        </w:rPr>
        <w:t>)</w:t>
      </w:r>
      <w:r w:rsidRPr="00D63DC9">
        <w:rPr>
          <w:rFonts w:ascii="Arial" w:hAnsi="Arial" w:cs="Arial"/>
        </w:rPr>
        <w:t xml:space="preserve">. Jednorazowa zmiana polega na połączeniu dwuletniego cyklu zajęć badawczo-terenowych, czyli Laboratorium etnograficznego z seminarium licencjackim w taki sposób, aby nauczyciel prowadzący laboratorium </w:t>
      </w:r>
      <w:r>
        <w:rPr>
          <w:rFonts w:ascii="Arial" w:hAnsi="Arial" w:cs="Arial"/>
        </w:rPr>
        <w:t>kontynuował współpracę z grupą studentów jako</w:t>
      </w:r>
      <w:r w:rsidRPr="00D63DC9">
        <w:rPr>
          <w:rFonts w:ascii="Arial" w:hAnsi="Arial" w:cs="Arial"/>
        </w:rPr>
        <w:t xml:space="preserve"> promoto</w:t>
      </w:r>
      <w:r>
        <w:rPr>
          <w:rFonts w:ascii="Arial" w:hAnsi="Arial" w:cs="Arial"/>
        </w:rPr>
        <w:t>r ich</w:t>
      </w:r>
      <w:r w:rsidRPr="00D63DC9">
        <w:rPr>
          <w:rFonts w:ascii="Arial" w:hAnsi="Arial" w:cs="Arial"/>
        </w:rPr>
        <w:t xml:space="preserve"> prac licencjacki</w:t>
      </w:r>
      <w:r>
        <w:rPr>
          <w:rFonts w:ascii="Arial" w:hAnsi="Arial" w:cs="Arial"/>
        </w:rPr>
        <w:t>ch</w:t>
      </w:r>
      <w:r w:rsidRPr="00D63DC9">
        <w:rPr>
          <w:rFonts w:ascii="Arial" w:hAnsi="Arial" w:cs="Arial"/>
        </w:rPr>
        <w:t>, a studenci zostali zwolnieni z konieczności pisania pracy laboratoryjnej i od razu przygotowywali pracę licencjacką. Zmiany te zostały spowodowane potrzebą zarezerwowania dodatkowego czasu na prowadzeni</w:t>
      </w:r>
      <w:r>
        <w:rPr>
          <w:rFonts w:ascii="Arial" w:hAnsi="Arial" w:cs="Arial"/>
        </w:rPr>
        <w:t>e</w:t>
      </w:r>
      <w:r w:rsidRPr="00D63DC9">
        <w:rPr>
          <w:rFonts w:ascii="Arial" w:hAnsi="Arial" w:cs="Arial"/>
        </w:rPr>
        <w:t xml:space="preserve"> badań terenowych (wywiadów i obserwacji) w warunkach pandemii:</w:t>
      </w:r>
    </w:p>
    <w:p w14:paraId="64DCEB37" w14:textId="77777777" w:rsidR="00E554DD" w:rsidRDefault="00E554DD" w:rsidP="00E554DD">
      <w:pPr>
        <w:spacing w:line="276" w:lineRule="auto"/>
        <w:jc w:val="both"/>
        <w:rPr>
          <w:rFonts w:ascii="Arial" w:hAnsi="Arial" w:cs="Arial"/>
          <w:sz w:val="24"/>
          <w:szCs w:val="24"/>
        </w:rPr>
      </w:pPr>
      <w:r>
        <w:rPr>
          <w:rFonts w:ascii="Arial" w:hAnsi="Arial" w:cs="Arial"/>
          <w:sz w:val="24"/>
          <w:szCs w:val="24"/>
        </w:rPr>
        <w:lastRenderedPageBreak/>
        <w:t xml:space="preserve">- włączyła do tegorocznego planu studiów zajęcia powadzone przez specjalistkę w zakresie szkolenia do pracy w branży User </w:t>
      </w:r>
      <w:proofErr w:type="spellStart"/>
      <w:r>
        <w:rPr>
          <w:rFonts w:ascii="Arial" w:hAnsi="Arial" w:cs="Arial"/>
          <w:sz w:val="24"/>
          <w:szCs w:val="24"/>
        </w:rPr>
        <w:t>Experience</w:t>
      </w:r>
      <w:proofErr w:type="spellEnd"/>
      <w:r w:rsidRPr="00AF0D57">
        <w:rPr>
          <w:rFonts w:ascii="Arial" w:hAnsi="Arial" w:cs="Arial"/>
          <w:sz w:val="24"/>
          <w:szCs w:val="24"/>
        </w:rPr>
        <w:t xml:space="preserve"> </w:t>
      </w:r>
      <w:r>
        <w:rPr>
          <w:rFonts w:ascii="Arial" w:hAnsi="Arial" w:cs="Arial"/>
          <w:sz w:val="24"/>
          <w:szCs w:val="24"/>
        </w:rPr>
        <w:t>i User Design. W wyniku monitoringu losów absolwentów okazało się, że wielu naszych absolwentów pracuje w tej branży (choć znaczna część także w organizacjach pozarządowych, urzędach i instytucjach kultury oraz w innych miejscach). Również w ankiecie oceny kompleksowej studenci artykułowali potrzebę wprowadzenia zajęć przygotowujących do tego typu pracy. W miarę możliwości postaramy się kontynuować tego typu zajęcia w naszej ofercie dydaktycznej;</w:t>
      </w:r>
    </w:p>
    <w:p w14:paraId="0A38801D" w14:textId="77777777" w:rsidR="00E554DD" w:rsidRDefault="00E554DD" w:rsidP="00E554DD">
      <w:pPr>
        <w:spacing w:line="276" w:lineRule="auto"/>
        <w:jc w:val="both"/>
        <w:rPr>
          <w:rFonts w:ascii="Arial" w:hAnsi="Arial" w:cs="Arial"/>
          <w:sz w:val="24"/>
          <w:szCs w:val="24"/>
        </w:rPr>
      </w:pPr>
      <w:r>
        <w:rPr>
          <w:rFonts w:ascii="Arial" w:hAnsi="Arial" w:cs="Arial"/>
          <w:sz w:val="24"/>
          <w:szCs w:val="24"/>
        </w:rPr>
        <w:t>- doprecyzowała opis Proseminarium badawczego w systemie USOS. W nowym opisie przedmiotu wyraźnie określono relację pomiędzy Proseminarium a seminarium magisterskim;</w:t>
      </w:r>
    </w:p>
    <w:p w14:paraId="349797ED" w14:textId="77777777" w:rsidR="00E554DD" w:rsidRDefault="00E554DD" w:rsidP="00E554DD">
      <w:pPr>
        <w:spacing w:line="276" w:lineRule="auto"/>
        <w:jc w:val="both"/>
        <w:rPr>
          <w:rFonts w:ascii="Arial" w:hAnsi="Arial" w:cs="Arial"/>
          <w:sz w:val="24"/>
          <w:szCs w:val="24"/>
        </w:rPr>
      </w:pPr>
      <w:r>
        <w:rPr>
          <w:rFonts w:ascii="Arial" w:hAnsi="Arial" w:cs="Arial"/>
          <w:sz w:val="24"/>
          <w:szCs w:val="24"/>
        </w:rPr>
        <w:t>- zaplanowała dyskusję na temat aktualizacji nazw modułów kształcenia na studiach pierwszego stopnia, w wyniku której jesienią 2021 r. zostanie przygotowana zmiana w programie studiów;</w:t>
      </w:r>
    </w:p>
    <w:p w14:paraId="36AC2C33" w14:textId="77777777" w:rsidR="00E554DD" w:rsidRPr="00D63DC9" w:rsidRDefault="00E554DD" w:rsidP="00E554DD">
      <w:pPr>
        <w:spacing w:line="276" w:lineRule="auto"/>
        <w:jc w:val="both"/>
        <w:rPr>
          <w:rFonts w:ascii="Arial" w:hAnsi="Arial" w:cs="Arial"/>
          <w:sz w:val="24"/>
          <w:szCs w:val="24"/>
        </w:rPr>
      </w:pPr>
      <w:r>
        <w:rPr>
          <w:rFonts w:ascii="Arial" w:hAnsi="Arial" w:cs="Arial"/>
          <w:sz w:val="24"/>
          <w:szCs w:val="24"/>
        </w:rPr>
        <w:t xml:space="preserve">- zaapelowała do nauczycieli akademickich o częste uaktualnianie oferowanych zajęć do wyboru i </w:t>
      </w:r>
      <w:r w:rsidRPr="00D63DC9">
        <w:rPr>
          <w:rFonts w:ascii="Arial" w:hAnsi="Arial" w:cs="Arial"/>
          <w:sz w:val="24"/>
          <w:szCs w:val="24"/>
        </w:rPr>
        <w:t>zaplanowała dyskusję na temat poszerzenia oferty zajęć zgodnie z sugestiami, które znalazły się w ankietach studenckich</w:t>
      </w:r>
      <w:r>
        <w:rPr>
          <w:rFonts w:ascii="Arial" w:hAnsi="Arial" w:cs="Arial"/>
          <w:sz w:val="24"/>
          <w:szCs w:val="24"/>
        </w:rPr>
        <w:t>.</w:t>
      </w:r>
    </w:p>
    <w:p w14:paraId="062876D9" w14:textId="77777777" w:rsidR="00E554DD" w:rsidRDefault="00E554DD" w:rsidP="00E554DD">
      <w:pPr>
        <w:spacing w:line="276" w:lineRule="auto"/>
        <w:jc w:val="both"/>
        <w:rPr>
          <w:rFonts w:ascii="Arial" w:hAnsi="Arial" w:cs="Arial"/>
          <w:sz w:val="24"/>
          <w:szCs w:val="24"/>
        </w:rPr>
      </w:pPr>
    </w:p>
    <w:p w14:paraId="59641FE6" w14:textId="77777777" w:rsidR="00E554DD" w:rsidRDefault="00E554DD" w:rsidP="00E554DD">
      <w:pPr>
        <w:spacing w:line="276" w:lineRule="auto"/>
        <w:jc w:val="both"/>
        <w:rPr>
          <w:rFonts w:ascii="Arial" w:hAnsi="Arial" w:cs="Arial"/>
          <w:sz w:val="24"/>
          <w:szCs w:val="24"/>
        </w:rPr>
      </w:pPr>
    </w:p>
    <w:p w14:paraId="712895D1" w14:textId="77777777" w:rsidR="00E554DD" w:rsidRPr="00542D6E" w:rsidRDefault="00E554DD" w:rsidP="00E554DD">
      <w:pPr>
        <w:spacing w:line="276" w:lineRule="auto"/>
        <w:jc w:val="both"/>
        <w:rPr>
          <w:rFonts w:ascii="Arial" w:hAnsi="Arial" w:cs="Arial"/>
          <w:sz w:val="24"/>
          <w:szCs w:val="24"/>
        </w:rPr>
      </w:pPr>
    </w:p>
    <w:p w14:paraId="3D0855E8" w14:textId="77777777" w:rsidR="00E554DD" w:rsidRPr="00542D6E" w:rsidRDefault="00E554DD" w:rsidP="00E554DD">
      <w:pPr>
        <w:spacing w:line="276" w:lineRule="auto"/>
        <w:jc w:val="center"/>
        <w:rPr>
          <w:rFonts w:ascii="Arial" w:hAnsi="Arial" w:cs="Arial"/>
          <w:b/>
          <w:sz w:val="24"/>
          <w:szCs w:val="24"/>
        </w:rPr>
      </w:pPr>
    </w:p>
    <w:p w14:paraId="03D47D2D" w14:textId="77777777" w:rsidR="00E554DD" w:rsidRPr="00542D6E" w:rsidRDefault="00E554DD" w:rsidP="00E554DD">
      <w:pPr>
        <w:spacing w:line="276" w:lineRule="auto"/>
        <w:jc w:val="center"/>
        <w:rPr>
          <w:rFonts w:ascii="Arial" w:hAnsi="Arial" w:cs="Arial"/>
          <w:b/>
          <w:sz w:val="24"/>
          <w:szCs w:val="24"/>
        </w:rPr>
      </w:pPr>
    </w:p>
    <w:p w14:paraId="09D2DD4D" w14:textId="77777777" w:rsidR="00E554DD" w:rsidRPr="00542D6E" w:rsidRDefault="00E554DD" w:rsidP="00E554DD">
      <w:pPr>
        <w:spacing w:line="276" w:lineRule="auto"/>
        <w:jc w:val="center"/>
        <w:rPr>
          <w:rFonts w:ascii="Arial" w:hAnsi="Arial" w:cs="Arial"/>
          <w:b/>
          <w:sz w:val="24"/>
          <w:szCs w:val="24"/>
        </w:rPr>
      </w:pPr>
    </w:p>
    <w:p w14:paraId="79807E0E" w14:textId="77777777" w:rsidR="00E554DD" w:rsidRDefault="00E554DD" w:rsidP="00E554DD">
      <w:pPr>
        <w:spacing w:after="0" w:line="276" w:lineRule="auto"/>
        <w:jc w:val="right"/>
        <w:rPr>
          <w:rFonts w:ascii="Arial" w:hAnsi="Arial" w:cs="Arial"/>
          <w:b/>
          <w:sz w:val="24"/>
          <w:szCs w:val="24"/>
        </w:rPr>
      </w:pPr>
    </w:p>
    <w:p w14:paraId="5170C9EF" w14:textId="77777777" w:rsidR="00E554DD" w:rsidRDefault="00E554DD" w:rsidP="00E554DD">
      <w:pPr>
        <w:spacing w:after="0" w:line="276" w:lineRule="auto"/>
        <w:jc w:val="right"/>
        <w:rPr>
          <w:rFonts w:ascii="Arial" w:hAnsi="Arial" w:cs="Arial"/>
          <w:b/>
          <w:sz w:val="24"/>
          <w:szCs w:val="24"/>
        </w:rPr>
      </w:pPr>
    </w:p>
    <w:p w14:paraId="6EFFB08F" w14:textId="77777777" w:rsidR="00E554DD" w:rsidRDefault="00E554DD" w:rsidP="00E554DD">
      <w:pPr>
        <w:spacing w:after="0" w:line="276" w:lineRule="auto"/>
        <w:jc w:val="right"/>
        <w:rPr>
          <w:rFonts w:ascii="Arial" w:hAnsi="Arial" w:cs="Arial"/>
          <w:b/>
          <w:sz w:val="24"/>
          <w:szCs w:val="24"/>
        </w:rPr>
      </w:pPr>
    </w:p>
    <w:p w14:paraId="62255CE0" w14:textId="77777777" w:rsidR="00E554DD" w:rsidRDefault="00E554DD" w:rsidP="00E554DD">
      <w:pPr>
        <w:spacing w:after="0" w:line="276" w:lineRule="auto"/>
        <w:jc w:val="right"/>
        <w:rPr>
          <w:rFonts w:ascii="Arial" w:hAnsi="Arial" w:cs="Arial"/>
          <w:b/>
          <w:sz w:val="24"/>
          <w:szCs w:val="24"/>
        </w:rPr>
      </w:pPr>
    </w:p>
    <w:p w14:paraId="4E68F230" w14:textId="77777777" w:rsidR="00E554DD" w:rsidRDefault="00E554DD" w:rsidP="00E554DD">
      <w:pPr>
        <w:spacing w:after="0" w:line="276" w:lineRule="auto"/>
        <w:jc w:val="right"/>
        <w:rPr>
          <w:rFonts w:ascii="Arial" w:hAnsi="Arial" w:cs="Arial"/>
          <w:b/>
          <w:sz w:val="24"/>
          <w:szCs w:val="24"/>
        </w:rPr>
      </w:pPr>
    </w:p>
    <w:p w14:paraId="2B1FFC19" w14:textId="77777777" w:rsidR="00E554DD" w:rsidRDefault="00E554DD" w:rsidP="00E554DD">
      <w:pPr>
        <w:spacing w:after="0" w:line="276" w:lineRule="auto"/>
        <w:jc w:val="right"/>
        <w:rPr>
          <w:rFonts w:ascii="Arial" w:hAnsi="Arial" w:cs="Arial"/>
          <w:b/>
          <w:sz w:val="24"/>
          <w:szCs w:val="24"/>
        </w:rPr>
      </w:pPr>
    </w:p>
    <w:p w14:paraId="05170AB3" w14:textId="77777777" w:rsidR="00E554DD" w:rsidRDefault="00E554DD" w:rsidP="00E554DD">
      <w:pPr>
        <w:spacing w:after="0" w:line="276" w:lineRule="auto"/>
        <w:jc w:val="right"/>
        <w:rPr>
          <w:rFonts w:ascii="Arial" w:hAnsi="Arial" w:cs="Arial"/>
          <w:b/>
          <w:sz w:val="24"/>
          <w:szCs w:val="24"/>
        </w:rPr>
      </w:pPr>
    </w:p>
    <w:p w14:paraId="600230AB" w14:textId="77777777" w:rsidR="00E554DD" w:rsidRDefault="00E554DD" w:rsidP="00E554DD">
      <w:pPr>
        <w:spacing w:after="0" w:line="276" w:lineRule="auto"/>
        <w:jc w:val="right"/>
        <w:rPr>
          <w:rFonts w:ascii="Arial" w:hAnsi="Arial" w:cs="Arial"/>
          <w:b/>
          <w:sz w:val="24"/>
          <w:szCs w:val="24"/>
        </w:rPr>
      </w:pPr>
    </w:p>
    <w:p w14:paraId="4F120070" w14:textId="77777777" w:rsidR="00E554DD" w:rsidRDefault="00E554DD" w:rsidP="00E554DD">
      <w:pPr>
        <w:spacing w:after="0" w:line="276" w:lineRule="auto"/>
        <w:jc w:val="right"/>
        <w:rPr>
          <w:rFonts w:ascii="Arial" w:hAnsi="Arial" w:cs="Arial"/>
          <w:b/>
          <w:sz w:val="24"/>
          <w:szCs w:val="24"/>
        </w:rPr>
      </w:pPr>
    </w:p>
    <w:p w14:paraId="00A7AD3F" w14:textId="77777777" w:rsidR="00E554DD" w:rsidRDefault="00E554DD" w:rsidP="00E554DD">
      <w:pPr>
        <w:spacing w:after="0" w:line="276" w:lineRule="auto"/>
        <w:jc w:val="right"/>
        <w:rPr>
          <w:rFonts w:ascii="Arial" w:hAnsi="Arial" w:cs="Arial"/>
          <w:b/>
          <w:sz w:val="24"/>
          <w:szCs w:val="24"/>
        </w:rPr>
      </w:pPr>
    </w:p>
    <w:p w14:paraId="3BADF439" w14:textId="77777777" w:rsidR="00E554DD" w:rsidRDefault="00E554DD" w:rsidP="00E554DD">
      <w:pPr>
        <w:spacing w:after="0" w:line="276" w:lineRule="auto"/>
        <w:jc w:val="right"/>
        <w:rPr>
          <w:rFonts w:ascii="Arial" w:hAnsi="Arial" w:cs="Arial"/>
          <w:b/>
          <w:sz w:val="24"/>
          <w:szCs w:val="24"/>
        </w:rPr>
      </w:pPr>
    </w:p>
    <w:p w14:paraId="1B7EFA3D" w14:textId="77777777" w:rsidR="00E554DD" w:rsidRDefault="00E554DD" w:rsidP="00E554DD">
      <w:pPr>
        <w:spacing w:after="0" w:line="276" w:lineRule="auto"/>
        <w:jc w:val="right"/>
        <w:rPr>
          <w:rFonts w:ascii="Arial" w:hAnsi="Arial" w:cs="Arial"/>
          <w:b/>
          <w:sz w:val="24"/>
          <w:szCs w:val="24"/>
        </w:rPr>
      </w:pPr>
    </w:p>
    <w:p w14:paraId="7152B8B2" w14:textId="77777777" w:rsidR="00E554DD" w:rsidRDefault="00E554DD" w:rsidP="00E554DD">
      <w:pPr>
        <w:spacing w:after="0" w:line="276" w:lineRule="auto"/>
        <w:jc w:val="right"/>
        <w:rPr>
          <w:rFonts w:ascii="Arial" w:hAnsi="Arial" w:cs="Arial"/>
          <w:b/>
          <w:sz w:val="24"/>
          <w:szCs w:val="24"/>
        </w:rPr>
      </w:pPr>
    </w:p>
    <w:p w14:paraId="16DB7692" w14:textId="77777777" w:rsidR="00EA5F11" w:rsidRDefault="00EA5F11" w:rsidP="00EA5F11">
      <w:pPr>
        <w:spacing w:after="0" w:line="276" w:lineRule="auto"/>
        <w:jc w:val="right"/>
        <w:rPr>
          <w:rFonts w:ascii="Arial" w:hAnsi="Arial" w:cs="Arial"/>
          <w:b/>
          <w:sz w:val="24"/>
          <w:szCs w:val="24"/>
        </w:rPr>
      </w:pPr>
    </w:p>
    <w:sectPr w:rsidR="00EA5F11" w:rsidSect="007E51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DE73C" w14:textId="77777777" w:rsidR="00AB04B1" w:rsidRDefault="00C93D8A">
      <w:pPr>
        <w:spacing w:after="0" w:line="240" w:lineRule="auto"/>
      </w:pPr>
      <w:r>
        <w:separator/>
      </w:r>
    </w:p>
  </w:endnote>
  <w:endnote w:type="continuationSeparator" w:id="0">
    <w:p w14:paraId="7C9807AD" w14:textId="77777777" w:rsidR="00AB04B1" w:rsidRDefault="00C9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761522"/>
      <w:docPartObj>
        <w:docPartGallery w:val="Page Numbers (Bottom of Page)"/>
        <w:docPartUnique/>
      </w:docPartObj>
    </w:sdtPr>
    <w:sdtEndPr/>
    <w:sdtContent>
      <w:p w14:paraId="11AE93B4" w14:textId="77777777" w:rsidR="00D63DC9" w:rsidRDefault="00E554DD">
        <w:pPr>
          <w:pStyle w:val="Stopka"/>
          <w:jc w:val="right"/>
        </w:pPr>
        <w:r>
          <w:fldChar w:fldCharType="begin"/>
        </w:r>
        <w:r>
          <w:instrText>PAGE   \* MERGEFORMAT</w:instrText>
        </w:r>
        <w:r>
          <w:fldChar w:fldCharType="separate"/>
        </w:r>
        <w:r>
          <w:t>2</w:t>
        </w:r>
        <w:r>
          <w:fldChar w:fldCharType="end"/>
        </w:r>
      </w:p>
    </w:sdtContent>
  </w:sdt>
  <w:p w14:paraId="71650D45" w14:textId="77777777" w:rsidR="0014173F" w:rsidRDefault="00201E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7DF91" w14:textId="77777777" w:rsidR="00AB04B1" w:rsidRDefault="00C93D8A">
      <w:pPr>
        <w:spacing w:after="0" w:line="240" w:lineRule="auto"/>
      </w:pPr>
      <w:r>
        <w:separator/>
      </w:r>
    </w:p>
  </w:footnote>
  <w:footnote w:type="continuationSeparator" w:id="0">
    <w:p w14:paraId="14137674" w14:textId="77777777" w:rsidR="00AB04B1" w:rsidRDefault="00C93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A138" w14:textId="77777777" w:rsidR="00986E15" w:rsidRDefault="00E554DD">
    <w:pPr>
      <w:pStyle w:val="Nagwek"/>
    </w:pPr>
    <w:r>
      <w:rPr>
        <w:noProof/>
        <w:lang w:val="en-GB" w:eastAsia="en-GB"/>
      </w:rPr>
      <w:drawing>
        <wp:inline distT="0" distB="0" distL="0" distR="0" wp14:anchorId="3E49A5F3" wp14:editId="2A703CD6">
          <wp:extent cx="5760720" cy="784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nologia i antropologia kulturow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84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130ED"/>
    <w:multiLevelType w:val="hybridMultilevel"/>
    <w:tmpl w:val="527E0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120023"/>
    <w:multiLevelType w:val="hybridMultilevel"/>
    <w:tmpl w:val="F47851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26F7CE8"/>
    <w:multiLevelType w:val="hybridMultilevel"/>
    <w:tmpl w:val="4DF626D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59"/>
    <w:rsid w:val="001E2E3A"/>
    <w:rsid w:val="00201E04"/>
    <w:rsid w:val="005316EF"/>
    <w:rsid w:val="007E2F59"/>
    <w:rsid w:val="00971BB6"/>
    <w:rsid w:val="00AB04B1"/>
    <w:rsid w:val="00C93D8A"/>
    <w:rsid w:val="00E554DD"/>
    <w:rsid w:val="00EA5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76D7"/>
  <w15:chartTrackingRefBased/>
  <w15:docId w15:val="{F931C67B-2073-41FA-8897-ADFC9509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54D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54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54DD"/>
  </w:style>
  <w:style w:type="paragraph" w:styleId="Stopka">
    <w:name w:val="footer"/>
    <w:basedOn w:val="Normalny"/>
    <w:link w:val="StopkaZnak"/>
    <w:uiPriority w:val="99"/>
    <w:unhideWhenUsed/>
    <w:rsid w:val="00E554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4DD"/>
  </w:style>
  <w:style w:type="paragraph" w:styleId="Bezodstpw">
    <w:name w:val="No Spacing"/>
    <w:uiPriority w:val="1"/>
    <w:qFormat/>
    <w:rsid w:val="00E554DD"/>
    <w:pPr>
      <w:spacing w:after="0" w:line="240" w:lineRule="auto"/>
    </w:pPr>
  </w:style>
  <w:style w:type="paragraph" w:styleId="Akapitzlist">
    <w:name w:val="List Paragraph"/>
    <w:basedOn w:val="Normalny"/>
    <w:uiPriority w:val="34"/>
    <w:qFormat/>
    <w:rsid w:val="00E554DD"/>
    <w:pPr>
      <w:spacing w:line="259" w:lineRule="auto"/>
      <w:ind w:left="720"/>
      <w:contextualSpacing/>
    </w:pPr>
  </w:style>
  <w:style w:type="paragraph" w:styleId="Tekstkomentarza">
    <w:name w:val="annotation text"/>
    <w:basedOn w:val="Normalny"/>
    <w:link w:val="TekstkomentarzaZnak"/>
    <w:uiPriority w:val="99"/>
    <w:unhideWhenUsed/>
    <w:rsid w:val="00E554DD"/>
    <w:pPr>
      <w:spacing w:line="240" w:lineRule="auto"/>
    </w:pPr>
    <w:rPr>
      <w:sz w:val="24"/>
      <w:szCs w:val="24"/>
    </w:rPr>
  </w:style>
  <w:style w:type="character" w:customStyle="1" w:styleId="TekstkomentarzaZnak">
    <w:name w:val="Tekst komentarza Znak"/>
    <w:basedOn w:val="Domylnaczcionkaakapitu"/>
    <w:link w:val="Tekstkomentarza"/>
    <w:uiPriority w:val="99"/>
    <w:rsid w:val="00E554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639</Words>
  <Characters>3839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 Sz.</dc:creator>
  <cp:keywords/>
  <dc:description/>
  <cp:lastModifiedBy>Anna M. Sz.</cp:lastModifiedBy>
  <cp:revision>4</cp:revision>
  <dcterms:created xsi:type="dcterms:W3CDTF">2020-12-30T09:03:00Z</dcterms:created>
  <dcterms:modified xsi:type="dcterms:W3CDTF">2020-12-30T11:34:00Z</dcterms:modified>
</cp:coreProperties>
</file>